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CFA8" w14:textId="058DE81B" w:rsidR="00E507CD" w:rsidRDefault="00E507CD">
      <w:r>
        <w:t>Amy Osborne</w:t>
      </w:r>
      <w:r>
        <w:br/>
        <w:t>General Counsel</w:t>
      </w:r>
      <w:r>
        <w:br/>
        <w:t>Indiana Professional Licensing Agency</w:t>
      </w:r>
      <w:r>
        <w:br/>
        <w:t>402 W. Washington St., Rm. W072</w:t>
      </w:r>
      <w:r>
        <w:br/>
        <w:t>Indianapolis, IN 46204</w:t>
      </w:r>
    </w:p>
    <w:p w14:paraId="15FA860F" w14:textId="6E49FD72" w:rsidR="00E507CD" w:rsidRDefault="00E507CD">
      <w:r>
        <w:t>Kimberly Snyder</w:t>
      </w:r>
      <w:r>
        <w:br/>
        <w:t>Indiana Board of Pharmacy Director</w:t>
      </w:r>
      <w:r>
        <w:br/>
        <w:t>402 W. Washington St. Rm. W072</w:t>
      </w:r>
      <w:r>
        <w:br/>
        <w:t>Indianapolis, IN 46204</w:t>
      </w:r>
    </w:p>
    <w:p w14:paraId="0BC81475" w14:textId="32C64E30" w:rsidR="00E507CD" w:rsidRDefault="00E507CD">
      <w:r>
        <w:t>Steve Anderson</w:t>
      </w:r>
      <w:r>
        <w:br/>
        <w:t>Indiana Board of Pharmacy President</w:t>
      </w:r>
      <w:r>
        <w:br/>
        <w:t>80 Greenbrier Dr.</w:t>
      </w:r>
      <w:r>
        <w:br/>
        <w:t>Bedford, IN 47421</w:t>
      </w:r>
      <w:r>
        <w:br/>
      </w:r>
      <w:r>
        <w:br/>
        <w:t>Leif Johnson</w:t>
      </w:r>
      <w:r>
        <w:br/>
        <w:t>Counsel to the Indiana Board of Pharmacy</w:t>
      </w:r>
      <w:r>
        <w:br/>
        <w:t>Indiana Attorney General’s Office</w:t>
      </w:r>
      <w:r>
        <w:br/>
        <w:t>302 W. Washington St. IGCS 5</w:t>
      </w:r>
      <w:r w:rsidRPr="00E507CD">
        <w:rPr>
          <w:vertAlign w:val="superscript"/>
        </w:rPr>
        <w:t>th</w:t>
      </w:r>
      <w:r>
        <w:t xml:space="preserve"> Flr.</w:t>
      </w:r>
      <w:r>
        <w:br/>
        <w:t>Indianapolis, IN 46204</w:t>
      </w:r>
    </w:p>
    <w:p w14:paraId="5DF52462" w14:textId="77777777" w:rsidR="00E507CD" w:rsidRDefault="00E507CD"/>
    <w:p w14:paraId="2A1CABB8" w14:textId="04511D3E" w:rsidR="00E507CD" w:rsidRDefault="00E507CD">
      <w:r>
        <w:t>Dear Ms. Osborne, Ms. Snyder, Mr. Anderson and Mr. Johnson,</w:t>
      </w:r>
    </w:p>
    <w:p w14:paraId="19C70FB2" w14:textId="77777777" w:rsidR="00E507CD" w:rsidRDefault="00E507CD"/>
    <w:p w14:paraId="1F91B445" w14:textId="50A2179C" w:rsidR="00E507CD" w:rsidRDefault="00E507CD">
      <w:r>
        <w:t xml:space="preserve">On behalf of the Indiana Pharmacy Association and the pharmacy law faculty at Indiana’s three colleges of pharmacy – Butler University, Purdue University and Manchester University, we wanted to address a discussion the Board of Pharmacy held at its August 11, 2025 meeting regarding pharmacist administration of injectable drug products. We write to encourage your review of the arguments in this letter as you deliberate on this topic. </w:t>
      </w:r>
    </w:p>
    <w:p w14:paraId="2A513C4D" w14:textId="734E4B1F" w:rsidR="00E507CD" w:rsidRDefault="00E507CD">
      <w:r>
        <w:t xml:space="preserve">A question was presented by Ms. Osborne regarding the legality of pharmacists to administer injectable products, such as Botox, antipsychotics, Juvéderm and other dermafillers. </w:t>
      </w:r>
    </w:p>
    <w:p w14:paraId="5A6A5490" w14:textId="6760371C" w:rsidR="00E507CD" w:rsidRDefault="00E507CD">
      <w:r>
        <w:t xml:space="preserve">As noted, the “practice of pharmacy” is defined to include: </w:t>
      </w:r>
      <w:r w:rsidRPr="00E507CD">
        <w:t xml:space="preserve"> </w:t>
      </w:r>
      <w:r>
        <w:t>“</w:t>
      </w:r>
      <w:r w:rsidRPr="00E507CD">
        <w:t xml:space="preserve">The compounding, labeling, </w:t>
      </w:r>
      <w:r w:rsidRPr="00E507CD">
        <w:rPr>
          <w:i/>
          <w:iCs/>
        </w:rPr>
        <w:t>administering,</w:t>
      </w:r>
      <w:r w:rsidRPr="00E507CD">
        <w:t xml:space="preserve"> dispensing, or selling of drugs and devices, including radioactive </w:t>
      </w:r>
      <w:r w:rsidRPr="00E507CD">
        <w:lastRenderedPageBreak/>
        <w:t>substances, whether dispensed under a practitioner's prescription or drug order or sold or given directly to the ultimate consumer</w:t>
      </w:r>
      <w:r>
        <w:t xml:space="preserve"> (emphasis added).”</w:t>
      </w:r>
      <w:r>
        <w:rPr>
          <w:rStyle w:val="FootnoteReference"/>
        </w:rPr>
        <w:footnoteReference w:id="1"/>
      </w:r>
    </w:p>
    <w:p w14:paraId="319D6AC6" w14:textId="461568D2" w:rsidR="00E507CD" w:rsidRDefault="00E507CD">
      <w:r>
        <w:t>The plain text of the definition does not limit in any respect the ability of a pharmacist to administer any drug for which there is a valid prescription or drug order.  The definition does not include a requirement that before administering a drug a pharmacist must do so under a collaborative practice agreement, nor does the statute limit the types of drugs that can be administered, and the statute does not limit to only certain types of injections either.  If it is a “drug” as defined by IC 25-26-13 it may be administered by a pharmacist.</w:t>
      </w:r>
    </w:p>
    <w:p w14:paraId="51DFB167" w14:textId="2CDA1183" w:rsidR="00E507CD" w:rsidRDefault="00E507CD">
      <w:r>
        <w:t xml:space="preserve">Additional requirements should not be inferred that are not specifically stated.  If the legislature intended for additional requirements or limits on administering drug products (such as a collaborative practice agreement or limits on the types of drugs) they could have done so.  Notably, the legislature has done so with respect to other provisions of the Pharmacy Practice Act.  For example, pharmacists may only prescribe contraceptive products in accordance with the Department of Health’s current standing order and protocol. </w:t>
      </w:r>
    </w:p>
    <w:p w14:paraId="2C9179E7" w14:textId="0E606043" w:rsidR="00E507CD" w:rsidRDefault="00E507CD">
      <w:r>
        <w:t xml:space="preserve">Any interpretation that would limit or restrict the ability of a pharmacist to administer any drug that is lawfully prescribed or ordered would create a substantial shift in current practice and would be a departure from long-standing instruction in our colleges of pharmacy. </w:t>
      </w:r>
    </w:p>
    <w:p w14:paraId="3554419B" w14:textId="153FA0B9" w:rsidR="00E507CD" w:rsidRDefault="00E507CD">
      <w:pPr>
        <w:rPr>
          <w:iCs/>
        </w:rPr>
      </w:pPr>
      <w:r>
        <w:t xml:space="preserve">For clarification, we are only discussing the </w:t>
      </w:r>
      <w:r>
        <w:rPr>
          <w:i/>
          <w:iCs/>
        </w:rPr>
        <w:t>administration</w:t>
      </w:r>
      <w:r>
        <w:t xml:space="preserve"> of a drug</w:t>
      </w:r>
      <w:r w:rsidR="001F6C70">
        <w:t xml:space="preserve"> which includes </w:t>
      </w:r>
      <w:r w:rsidRPr="00E507CD">
        <w:rPr>
          <w:i/>
          <w:iCs/>
        </w:rPr>
        <w:t>the physical act of providing an injection</w:t>
      </w:r>
      <w:r>
        <w:t xml:space="preserve">. This letter is not addressing the </w:t>
      </w:r>
      <w:r>
        <w:rPr>
          <w:i/>
        </w:rPr>
        <w:t>prescribing or ordering</w:t>
      </w:r>
      <w:r>
        <w:rPr>
          <w:iCs/>
        </w:rPr>
        <w:t xml:space="preserve"> of a drug, or </w:t>
      </w:r>
      <w:r>
        <w:rPr>
          <w:i/>
        </w:rPr>
        <w:t xml:space="preserve">diagnosing </w:t>
      </w:r>
      <w:r>
        <w:t>prior to prescribing</w:t>
      </w:r>
      <w:r>
        <w:rPr>
          <w:iCs/>
        </w:rPr>
        <w:t xml:space="preserve">.  Whether or not a particular drug should be prescribed or ordered is still determined by a practitioner with lawful authority to make that determination. </w:t>
      </w:r>
    </w:p>
    <w:p w14:paraId="2FB8C210" w14:textId="47CE7D2B" w:rsidR="00E507CD" w:rsidRDefault="00E507CD">
      <w:pPr>
        <w:rPr>
          <w:iCs/>
        </w:rPr>
      </w:pPr>
      <w:r>
        <w:rPr>
          <w:iCs/>
        </w:rPr>
        <w:t>Importantly, when a pharmacist administers any drug they must do so competently.  IC 25-1-9-4 prescribes that a pharmacist can be disciplined for professional incompetence, which includes “</w:t>
      </w:r>
      <w:r w:rsidRPr="00E507CD">
        <w:rPr>
          <w:iCs/>
        </w:rPr>
        <w:t>the undertaking of professional activities that the practitioner is not qualified by training or experience to undertake</w:t>
      </w:r>
      <w:r>
        <w:rPr>
          <w:iCs/>
        </w:rPr>
        <w:t>” and “f</w:t>
      </w:r>
      <w:r w:rsidRPr="00E507CD">
        <w:rPr>
          <w:iCs/>
        </w:rPr>
        <w:t>ailure to keep abreast of current professional theory or practice</w:t>
      </w:r>
      <w:r>
        <w:rPr>
          <w:iCs/>
        </w:rPr>
        <w:t>.”</w:t>
      </w:r>
    </w:p>
    <w:p w14:paraId="64052C0A" w14:textId="3B616EC7" w:rsidR="00E507CD" w:rsidRDefault="00E507CD">
      <w:pPr>
        <w:rPr>
          <w:iCs/>
        </w:rPr>
      </w:pPr>
      <w:r>
        <w:rPr>
          <w:iCs/>
        </w:rPr>
        <w:t>Therefore, if a pharmacist is qualified by training or experience to administer a particular drug that is lawfully prescribed or order</w:t>
      </w:r>
      <w:r w:rsidR="00D53C1A">
        <w:rPr>
          <w:iCs/>
        </w:rPr>
        <w:t>ed</w:t>
      </w:r>
      <w:r>
        <w:rPr>
          <w:iCs/>
        </w:rPr>
        <w:t>, they are permitted under the Pharmacy Practice Act to do so. This is not the “practice of medicine” – it falls squarely within the definition of the “practice of pharmacy.”</w:t>
      </w:r>
    </w:p>
    <w:p w14:paraId="44E69BDA" w14:textId="15C40A2D" w:rsidR="00E507CD" w:rsidRDefault="00E507CD">
      <w:pPr>
        <w:rPr>
          <w:iCs/>
        </w:rPr>
      </w:pPr>
      <w:r>
        <w:rPr>
          <w:iCs/>
        </w:rPr>
        <w:lastRenderedPageBreak/>
        <w:t xml:space="preserve">Advancements in practice often result in new activities being performed by qualified, trained practitioners.  For example, there was a lengthy discussion regarding administering Botox injections.  (Again, </w:t>
      </w:r>
      <w:r w:rsidR="001F6C70">
        <w:rPr>
          <w:iCs/>
        </w:rPr>
        <w:t xml:space="preserve">in this particular context, </w:t>
      </w:r>
      <w:r>
        <w:rPr>
          <w:iCs/>
        </w:rPr>
        <w:t xml:space="preserve">we are only speaking to the </w:t>
      </w:r>
      <w:r>
        <w:rPr>
          <w:i/>
        </w:rPr>
        <w:t>physical act of administration.</w:t>
      </w:r>
      <w:r>
        <w:rPr>
          <w:iCs/>
        </w:rPr>
        <w:t>) Can a pharmacist lawfully administer Botox?</w:t>
      </w:r>
    </w:p>
    <w:p w14:paraId="0C1B26BA" w14:textId="458EE50D" w:rsidR="00E507CD" w:rsidRDefault="00E507CD" w:rsidP="00E507CD">
      <w:pPr>
        <w:pStyle w:val="ListParagraph"/>
        <w:numPr>
          <w:ilvl w:val="0"/>
          <w:numId w:val="1"/>
        </w:numPr>
        <w:rPr>
          <w:iCs/>
        </w:rPr>
      </w:pPr>
      <w:r>
        <w:rPr>
          <w:iCs/>
        </w:rPr>
        <w:t>Is Botox a “drug” as defined by the Pharmacy Practice Act?</w:t>
      </w:r>
    </w:p>
    <w:p w14:paraId="1BE1AE66" w14:textId="77777777" w:rsidR="00E507CD" w:rsidRDefault="00E507CD" w:rsidP="00E507CD">
      <w:pPr>
        <w:pStyle w:val="ListParagraph"/>
        <w:ind w:left="765"/>
        <w:rPr>
          <w:iCs/>
        </w:rPr>
      </w:pPr>
    </w:p>
    <w:p w14:paraId="6EE2A282" w14:textId="4C973876" w:rsidR="00E507CD" w:rsidRDefault="00E507CD" w:rsidP="00E507CD">
      <w:pPr>
        <w:pStyle w:val="ListParagraph"/>
        <w:ind w:left="765"/>
        <w:rPr>
          <w:iCs/>
        </w:rPr>
      </w:pPr>
      <w:r>
        <w:rPr>
          <w:iCs/>
        </w:rPr>
        <w:t xml:space="preserve">“Drug” is defined as: </w:t>
      </w:r>
    </w:p>
    <w:p w14:paraId="41D4E238" w14:textId="77777777" w:rsidR="00E507CD" w:rsidRPr="00E507CD" w:rsidRDefault="00E507CD" w:rsidP="00E507CD">
      <w:pPr>
        <w:pStyle w:val="ListParagraph"/>
        <w:ind w:left="765"/>
        <w:rPr>
          <w:iCs/>
        </w:rPr>
      </w:pPr>
      <w:r w:rsidRPr="00E507CD">
        <w:rPr>
          <w:iCs/>
        </w:rPr>
        <w:t>(1) articles or substances recognized in the official United States Pharmacopoeia, official National Formulary, official Homeopathic Pharmacopoeia of the United States, or any supplement to any of them;</w:t>
      </w:r>
    </w:p>
    <w:p w14:paraId="1EF7661F" w14:textId="77777777" w:rsidR="00E507CD" w:rsidRPr="00E507CD" w:rsidRDefault="00E507CD" w:rsidP="00E507CD">
      <w:pPr>
        <w:pStyle w:val="ListParagraph"/>
        <w:ind w:left="765"/>
        <w:rPr>
          <w:iCs/>
        </w:rPr>
      </w:pPr>
      <w:r w:rsidRPr="00E507CD">
        <w:rPr>
          <w:iCs/>
        </w:rPr>
        <w:t>(2) articles or substances intended for use in the diagnosis, cure, mitigation, treatment, or prevention of disease in man or animals;</w:t>
      </w:r>
    </w:p>
    <w:p w14:paraId="14157CB2" w14:textId="77777777" w:rsidR="00E507CD" w:rsidRPr="00E507CD" w:rsidRDefault="00E507CD" w:rsidP="00E507CD">
      <w:pPr>
        <w:pStyle w:val="ListParagraph"/>
        <w:ind w:left="765"/>
        <w:rPr>
          <w:iCs/>
        </w:rPr>
      </w:pPr>
      <w:r w:rsidRPr="00E507CD">
        <w:rPr>
          <w:iCs/>
        </w:rPr>
        <w:t>(3) articles other than food intended to affect the structure or any function of the body of man or animals; or</w:t>
      </w:r>
    </w:p>
    <w:p w14:paraId="175D6C71" w14:textId="77777777" w:rsidR="00E507CD" w:rsidRDefault="00E507CD" w:rsidP="00E507CD">
      <w:pPr>
        <w:pStyle w:val="ListParagraph"/>
        <w:ind w:left="765"/>
        <w:rPr>
          <w:iCs/>
        </w:rPr>
      </w:pPr>
      <w:r w:rsidRPr="00E507CD">
        <w:rPr>
          <w:iCs/>
        </w:rPr>
        <w:t>(4) articles intended for use as a component of any article specified in subdivisions (1) through (3) and devices.</w:t>
      </w:r>
    </w:p>
    <w:p w14:paraId="21753C30" w14:textId="77777777" w:rsidR="00E507CD" w:rsidRDefault="00E507CD" w:rsidP="00E507CD">
      <w:pPr>
        <w:pStyle w:val="ListParagraph"/>
        <w:ind w:left="765"/>
        <w:rPr>
          <w:iCs/>
        </w:rPr>
      </w:pPr>
    </w:p>
    <w:p w14:paraId="7E2C1510" w14:textId="0872AEB3" w:rsidR="00E507CD" w:rsidRDefault="00E507CD" w:rsidP="00E507CD">
      <w:pPr>
        <w:pStyle w:val="ListParagraph"/>
        <w:ind w:left="765"/>
        <w:rPr>
          <w:iCs/>
        </w:rPr>
      </w:pPr>
      <w:r>
        <w:rPr>
          <w:iCs/>
        </w:rPr>
        <w:t xml:space="preserve">Botox is an article or substance that meets this definition. </w:t>
      </w:r>
    </w:p>
    <w:p w14:paraId="773657A2" w14:textId="77777777" w:rsidR="00E507CD" w:rsidRDefault="00E507CD" w:rsidP="00E507CD">
      <w:pPr>
        <w:pStyle w:val="ListParagraph"/>
        <w:ind w:left="765"/>
        <w:rPr>
          <w:iCs/>
        </w:rPr>
      </w:pPr>
    </w:p>
    <w:p w14:paraId="1EFDDC5F" w14:textId="2B5F915B" w:rsidR="00E507CD" w:rsidRDefault="00E507CD" w:rsidP="00E507CD">
      <w:pPr>
        <w:pStyle w:val="ListParagraph"/>
        <w:numPr>
          <w:ilvl w:val="0"/>
          <w:numId w:val="1"/>
        </w:numPr>
        <w:rPr>
          <w:iCs/>
        </w:rPr>
      </w:pPr>
      <w:r>
        <w:rPr>
          <w:iCs/>
        </w:rPr>
        <w:t>Was Botox lawfully prescribed or ordered?</w:t>
      </w:r>
    </w:p>
    <w:p w14:paraId="2A07B3DD" w14:textId="46A71932" w:rsidR="00E507CD" w:rsidRDefault="00E507CD" w:rsidP="00E507CD">
      <w:pPr>
        <w:ind w:left="765"/>
        <w:rPr>
          <w:iCs/>
        </w:rPr>
      </w:pPr>
      <w:r>
        <w:rPr>
          <w:iCs/>
        </w:rPr>
        <w:t>If no, then the pharmacist may not administer.</w:t>
      </w:r>
    </w:p>
    <w:p w14:paraId="7254061D" w14:textId="5A10EE71" w:rsidR="00E507CD" w:rsidRDefault="00E507CD" w:rsidP="00E507CD">
      <w:pPr>
        <w:ind w:left="765"/>
        <w:rPr>
          <w:iCs/>
        </w:rPr>
      </w:pPr>
      <w:r>
        <w:rPr>
          <w:iCs/>
        </w:rPr>
        <w:t>If yes, we ask the last question.</w:t>
      </w:r>
    </w:p>
    <w:p w14:paraId="5214139A" w14:textId="2ECDFCF8" w:rsidR="00E507CD" w:rsidRDefault="00E507CD" w:rsidP="00E507CD">
      <w:pPr>
        <w:pStyle w:val="ListParagraph"/>
        <w:numPr>
          <w:ilvl w:val="0"/>
          <w:numId w:val="1"/>
        </w:numPr>
        <w:rPr>
          <w:iCs/>
        </w:rPr>
      </w:pPr>
      <w:r>
        <w:rPr>
          <w:iCs/>
        </w:rPr>
        <w:t>Is the pharmacist qualified by training or experience to competently administer the product?</w:t>
      </w:r>
    </w:p>
    <w:p w14:paraId="3BB4E21D" w14:textId="58BB160B" w:rsidR="00E507CD" w:rsidRDefault="00E507CD" w:rsidP="00E507CD">
      <w:pPr>
        <w:ind w:left="720"/>
        <w:rPr>
          <w:iCs/>
        </w:rPr>
      </w:pPr>
      <w:r>
        <w:rPr>
          <w:iCs/>
        </w:rPr>
        <w:t>If no, then the pharmacist may not administer.</w:t>
      </w:r>
    </w:p>
    <w:p w14:paraId="49CC53A8" w14:textId="240F98E0" w:rsidR="00E507CD" w:rsidRDefault="00E507CD" w:rsidP="00E507CD">
      <w:pPr>
        <w:ind w:left="720"/>
        <w:rPr>
          <w:iCs/>
        </w:rPr>
      </w:pPr>
      <w:r>
        <w:rPr>
          <w:iCs/>
        </w:rPr>
        <w:t xml:space="preserve">If yes, then they may administer the product.  In fact, there are national training programs that accept pharmacists to train them to administer long-acting injectables and Botox for example. </w:t>
      </w:r>
    </w:p>
    <w:p w14:paraId="4B7AC510" w14:textId="05688193" w:rsidR="00E507CD" w:rsidRDefault="00E507CD" w:rsidP="00E507CD">
      <w:pPr>
        <w:rPr>
          <w:iCs/>
        </w:rPr>
      </w:pPr>
      <w:r>
        <w:rPr>
          <w:iCs/>
        </w:rPr>
        <w:t>Finally, the setting where the drug is administered also matters.  Certain products may require specialized equipment, personnel or other materials to safely administer the drug.  Al</w:t>
      </w:r>
      <w:r w:rsidR="00D53C1A">
        <w:rPr>
          <w:iCs/>
        </w:rPr>
        <w:t>l</w:t>
      </w:r>
      <w:r>
        <w:rPr>
          <w:iCs/>
        </w:rPr>
        <w:t xml:space="preserve"> of those safety requirements would still be required if a pharmacist administers a drug.  This is consistent with “keeping abreast of current professional theory or practice.”</w:t>
      </w:r>
    </w:p>
    <w:p w14:paraId="3BBF2F96" w14:textId="77F23206" w:rsidR="00E507CD" w:rsidRDefault="00E507CD" w:rsidP="00E507CD">
      <w:pPr>
        <w:rPr>
          <w:iCs/>
        </w:rPr>
      </w:pPr>
      <w:r>
        <w:rPr>
          <w:iCs/>
        </w:rPr>
        <w:lastRenderedPageBreak/>
        <w:t xml:space="preserve">We understand that new advancements in pharmacy practice require new looks at current law.  However, we would caution against interpreting current laws so restrictively to impede innovation, particularly when laws are written broadly to encompass a variety of practices.  </w:t>
      </w:r>
    </w:p>
    <w:p w14:paraId="469391A0" w14:textId="451DC402" w:rsidR="00E507CD" w:rsidRDefault="00E507CD" w:rsidP="00E507CD">
      <w:pPr>
        <w:rPr>
          <w:iCs/>
        </w:rPr>
      </w:pPr>
      <w:r>
        <w:rPr>
          <w:iCs/>
        </w:rPr>
        <w:t xml:space="preserve">We urge the Board in their deliberations on this matter to take into account these arguments. </w:t>
      </w:r>
    </w:p>
    <w:p w14:paraId="5DFEEE92" w14:textId="2CC1DD74" w:rsidR="00E507CD" w:rsidRDefault="00E507CD" w:rsidP="00E507CD">
      <w:pPr>
        <w:rPr>
          <w:iCs/>
        </w:rPr>
      </w:pPr>
      <w:r>
        <w:rPr>
          <w:iCs/>
        </w:rPr>
        <w:t>Thank you for your consideration to this matter.</w:t>
      </w:r>
    </w:p>
    <w:p w14:paraId="148F7990" w14:textId="464725B5" w:rsidR="00E507CD" w:rsidRDefault="00E507CD" w:rsidP="00E507CD">
      <w:pPr>
        <w:rPr>
          <w:iCs/>
        </w:rPr>
      </w:pPr>
      <w:r>
        <w:rPr>
          <w:iCs/>
        </w:rPr>
        <w:t>Sincerely,</w:t>
      </w:r>
    </w:p>
    <w:p w14:paraId="340EBA72" w14:textId="77777777" w:rsidR="00E507CD" w:rsidRDefault="00E507CD" w:rsidP="00E507CD">
      <w:pPr>
        <w:rPr>
          <w:iCs/>
        </w:rPr>
      </w:pPr>
    </w:p>
    <w:p w14:paraId="6C779F17" w14:textId="10C9CE86" w:rsidR="00E507CD" w:rsidRDefault="00E507CD" w:rsidP="00E507CD">
      <w:pPr>
        <w:rPr>
          <w:iCs/>
        </w:rPr>
      </w:pPr>
      <w:r>
        <w:rPr>
          <w:iCs/>
        </w:rPr>
        <w:t>Darren Covington, JD</w:t>
      </w:r>
      <w:r>
        <w:rPr>
          <w:iCs/>
        </w:rPr>
        <w:br/>
        <w:t>Executive Vice President</w:t>
      </w:r>
      <w:r>
        <w:rPr>
          <w:iCs/>
        </w:rPr>
        <w:br/>
        <w:t>Indiana Pharmacy Association</w:t>
      </w:r>
    </w:p>
    <w:p w14:paraId="676B0518" w14:textId="2C5F99C6" w:rsidR="00E507CD" w:rsidRDefault="00E507CD" w:rsidP="00E507CD">
      <w:pPr>
        <w:rPr>
          <w:iCs/>
        </w:rPr>
      </w:pPr>
      <w:r w:rsidRPr="00E507CD">
        <w:rPr>
          <w:iCs/>
        </w:rPr>
        <w:t>Ryan Ades, PharmD, BCPS</w:t>
      </w:r>
      <w:r w:rsidRPr="00E507CD">
        <w:rPr>
          <w:b/>
          <w:bCs/>
          <w:iCs/>
        </w:rPr>
        <w:br/>
      </w:r>
      <w:r w:rsidRPr="00E507CD">
        <w:rPr>
          <w:iCs/>
        </w:rPr>
        <w:t>Director of IPPE and Experiential Curriculum</w:t>
      </w:r>
      <w:r w:rsidRPr="00E507CD">
        <w:rPr>
          <w:iCs/>
        </w:rPr>
        <w:br/>
        <w:t>Clinical Assistant Professor (courtesy) – Department of Pharmacy Practice</w:t>
      </w:r>
      <w:r w:rsidRPr="00E507CD">
        <w:rPr>
          <w:b/>
          <w:bCs/>
          <w:iCs/>
        </w:rPr>
        <w:br/>
      </w:r>
      <w:r w:rsidRPr="00E507CD">
        <w:rPr>
          <w:iCs/>
        </w:rPr>
        <w:t>Purdue University College of Pharmacy</w:t>
      </w:r>
      <w:r>
        <w:rPr>
          <w:iCs/>
        </w:rPr>
        <w:br/>
      </w:r>
      <w:r>
        <w:rPr>
          <w:iCs/>
        </w:rPr>
        <w:br/>
        <w:t>Veronica Vernon, PharmD</w:t>
      </w:r>
      <w:r>
        <w:rPr>
          <w:iCs/>
        </w:rPr>
        <w:br/>
      </w:r>
      <w:r w:rsidR="00E7623B">
        <w:rPr>
          <w:iCs/>
        </w:rPr>
        <w:t>Chair and Associate Professor of Pharmacy Practice</w:t>
      </w:r>
      <w:r>
        <w:rPr>
          <w:iCs/>
        </w:rPr>
        <w:br/>
        <w:t>Butler University College of Pharmacy and Health Sciences</w:t>
      </w:r>
      <w:r>
        <w:rPr>
          <w:iCs/>
        </w:rPr>
        <w:br/>
      </w:r>
      <w:r>
        <w:rPr>
          <w:iCs/>
        </w:rPr>
        <w:br/>
        <w:t>[Name]</w:t>
      </w:r>
      <w:r>
        <w:rPr>
          <w:iCs/>
        </w:rPr>
        <w:br/>
        <w:t>[Title]</w:t>
      </w:r>
      <w:r>
        <w:rPr>
          <w:iCs/>
        </w:rPr>
        <w:br/>
        <w:t xml:space="preserve">Manchester University College of Pharmacy </w:t>
      </w:r>
    </w:p>
    <w:p w14:paraId="734E0050" w14:textId="77777777" w:rsidR="00E507CD" w:rsidRPr="00E507CD" w:rsidRDefault="00E507CD" w:rsidP="00E507CD">
      <w:pPr>
        <w:rPr>
          <w:iCs/>
        </w:rPr>
      </w:pPr>
    </w:p>
    <w:p w14:paraId="65C79AF5" w14:textId="77777777" w:rsidR="00E507CD" w:rsidRPr="00E507CD" w:rsidRDefault="00E507CD" w:rsidP="00E507CD">
      <w:pPr>
        <w:ind w:left="720"/>
        <w:rPr>
          <w:iCs/>
        </w:rPr>
      </w:pPr>
    </w:p>
    <w:p w14:paraId="0B1541DB" w14:textId="77777777" w:rsidR="00E507CD" w:rsidRPr="00E507CD" w:rsidRDefault="00E507CD" w:rsidP="00E507CD">
      <w:pPr>
        <w:pStyle w:val="ListParagraph"/>
        <w:ind w:left="765"/>
        <w:rPr>
          <w:iCs/>
        </w:rPr>
      </w:pPr>
    </w:p>
    <w:p w14:paraId="4D3B6E02" w14:textId="77777777" w:rsidR="00E507CD" w:rsidRPr="00E507CD" w:rsidRDefault="00E507CD">
      <w:pPr>
        <w:rPr>
          <w:iCs/>
        </w:rPr>
      </w:pPr>
    </w:p>
    <w:p w14:paraId="62DFEE68" w14:textId="467944E1" w:rsidR="00E507CD" w:rsidRPr="00E507CD" w:rsidRDefault="00E507CD">
      <w:r>
        <w:t xml:space="preserve"> </w:t>
      </w:r>
    </w:p>
    <w:p w14:paraId="42C014CC" w14:textId="77777777" w:rsidR="00E507CD" w:rsidRDefault="00E507CD"/>
    <w:sectPr w:rsidR="00E507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EAAA" w14:textId="77777777" w:rsidR="00222FA6" w:rsidRDefault="00222FA6" w:rsidP="00E507CD">
      <w:pPr>
        <w:spacing w:after="0" w:line="240" w:lineRule="auto"/>
      </w:pPr>
      <w:r>
        <w:separator/>
      </w:r>
    </w:p>
  </w:endnote>
  <w:endnote w:type="continuationSeparator" w:id="0">
    <w:p w14:paraId="0F7FDA7F" w14:textId="77777777" w:rsidR="00222FA6" w:rsidRDefault="00222FA6" w:rsidP="00E5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B33BF" w14:textId="77777777" w:rsidR="00222FA6" w:rsidRDefault="00222FA6" w:rsidP="00E507CD">
      <w:pPr>
        <w:spacing w:after="0" w:line="240" w:lineRule="auto"/>
      </w:pPr>
      <w:r>
        <w:separator/>
      </w:r>
    </w:p>
  </w:footnote>
  <w:footnote w:type="continuationSeparator" w:id="0">
    <w:p w14:paraId="158B9879" w14:textId="77777777" w:rsidR="00222FA6" w:rsidRDefault="00222FA6" w:rsidP="00E507CD">
      <w:pPr>
        <w:spacing w:after="0" w:line="240" w:lineRule="auto"/>
      </w:pPr>
      <w:r>
        <w:continuationSeparator/>
      </w:r>
    </w:p>
  </w:footnote>
  <w:footnote w:id="1">
    <w:p w14:paraId="712F17A4" w14:textId="5CA3B283" w:rsidR="00E507CD" w:rsidRDefault="00E507CD">
      <w:pPr>
        <w:pStyle w:val="FootnoteText"/>
      </w:pPr>
      <w:r>
        <w:rPr>
          <w:rStyle w:val="FootnoteReference"/>
        </w:rPr>
        <w:footnoteRef/>
      </w:r>
      <w:r>
        <w:t xml:space="preserve"> IC 25-26-13-2, definition, “practice of pharmacy”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369AB"/>
    <w:multiLevelType w:val="hybridMultilevel"/>
    <w:tmpl w:val="52307EF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157635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CD"/>
    <w:rsid w:val="00086758"/>
    <w:rsid w:val="001F6C70"/>
    <w:rsid w:val="00222FA6"/>
    <w:rsid w:val="007F0975"/>
    <w:rsid w:val="00830D9F"/>
    <w:rsid w:val="00863EDC"/>
    <w:rsid w:val="008A6FB2"/>
    <w:rsid w:val="00A23B2A"/>
    <w:rsid w:val="00D53C1A"/>
    <w:rsid w:val="00E507CD"/>
    <w:rsid w:val="00E7623B"/>
    <w:rsid w:val="00FA4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9DAE5"/>
  <w15:chartTrackingRefBased/>
  <w15:docId w15:val="{1F706DBD-CE45-404C-B306-DB37AC82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7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7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7CD"/>
    <w:rPr>
      <w:rFonts w:eastAsiaTheme="majorEastAsia" w:cstheme="majorBidi"/>
      <w:color w:val="272727" w:themeColor="text1" w:themeTint="D8"/>
    </w:rPr>
  </w:style>
  <w:style w:type="paragraph" w:styleId="Title">
    <w:name w:val="Title"/>
    <w:basedOn w:val="Normal"/>
    <w:next w:val="Normal"/>
    <w:link w:val="TitleChar"/>
    <w:uiPriority w:val="10"/>
    <w:qFormat/>
    <w:rsid w:val="00E50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7CD"/>
    <w:pPr>
      <w:spacing w:before="160"/>
      <w:jc w:val="center"/>
    </w:pPr>
    <w:rPr>
      <w:i/>
      <w:iCs/>
      <w:color w:val="404040" w:themeColor="text1" w:themeTint="BF"/>
    </w:rPr>
  </w:style>
  <w:style w:type="character" w:customStyle="1" w:styleId="QuoteChar">
    <w:name w:val="Quote Char"/>
    <w:basedOn w:val="DefaultParagraphFont"/>
    <w:link w:val="Quote"/>
    <w:uiPriority w:val="29"/>
    <w:rsid w:val="00E507CD"/>
    <w:rPr>
      <w:i/>
      <w:iCs/>
      <w:color w:val="404040" w:themeColor="text1" w:themeTint="BF"/>
    </w:rPr>
  </w:style>
  <w:style w:type="paragraph" w:styleId="ListParagraph">
    <w:name w:val="List Paragraph"/>
    <w:basedOn w:val="Normal"/>
    <w:uiPriority w:val="34"/>
    <w:qFormat/>
    <w:rsid w:val="00E507CD"/>
    <w:pPr>
      <w:ind w:left="720"/>
      <w:contextualSpacing/>
    </w:pPr>
  </w:style>
  <w:style w:type="character" w:styleId="IntenseEmphasis">
    <w:name w:val="Intense Emphasis"/>
    <w:basedOn w:val="DefaultParagraphFont"/>
    <w:uiPriority w:val="21"/>
    <w:qFormat/>
    <w:rsid w:val="00E507CD"/>
    <w:rPr>
      <w:i/>
      <w:iCs/>
      <w:color w:val="0F4761" w:themeColor="accent1" w:themeShade="BF"/>
    </w:rPr>
  </w:style>
  <w:style w:type="paragraph" w:styleId="IntenseQuote">
    <w:name w:val="Intense Quote"/>
    <w:basedOn w:val="Normal"/>
    <w:next w:val="Normal"/>
    <w:link w:val="IntenseQuoteChar"/>
    <w:uiPriority w:val="30"/>
    <w:qFormat/>
    <w:rsid w:val="00E50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7CD"/>
    <w:rPr>
      <w:i/>
      <w:iCs/>
      <w:color w:val="0F4761" w:themeColor="accent1" w:themeShade="BF"/>
    </w:rPr>
  </w:style>
  <w:style w:type="character" w:styleId="IntenseReference">
    <w:name w:val="Intense Reference"/>
    <w:basedOn w:val="DefaultParagraphFont"/>
    <w:uiPriority w:val="32"/>
    <w:qFormat/>
    <w:rsid w:val="00E507CD"/>
    <w:rPr>
      <w:b/>
      <w:bCs/>
      <w:smallCaps/>
      <w:color w:val="0F4761" w:themeColor="accent1" w:themeShade="BF"/>
      <w:spacing w:val="5"/>
    </w:rPr>
  </w:style>
  <w:style w:type="paragraph" w:styleId="FootnoteText">
    <w:name w:val="footnote text"/>
    <w:basedOn w:val="Normal"/>
    <w:link w:val="FootnoteTextChar"/>
    <w:uiPriority w:val="99"/>
    <w:semiHidden/>
    <w:unhideWhenUsed/>
    <w:rsid w:val="00E507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07CD"/>
    <w:rPr>
      <w:sz w:val="20"/>
      <w:szCs w:val="20"/>
    </w:rPr>
  </w:style>
  <w:style w:type="character" w:styleId="FootnoteReference">
    <w:name w:val="footnote reference"/>
    <w:basedOn w:val="DefaultParagraphFont"/>
    <w:uiPriority w:val="99"/>
    <w:semiHidden/>
    <w:unhideWhenUsed/>
    <w:rsid w:val="00E507CD"/>
    <w:rPr>
      <w:vertAlign w:val="superscript"/>
    </w:rPr>
  </w:style>
  <w:style w:type="paragraph" w:styleId="Revision">
    <w:name w:val="Revision"/>
    <w:hidden/>
    <w:uiPriority w:val="99"/>
    <w:semiHidden/>
    <w:rsid w:val="00D53C1A"/>
    <w:pPr>
      <w:spacing w:after="0" w:line="240" w:lineRule="auto"/>
    </w:pPr>
  </w:style>
  <w:style w:type="character" w:styleId="CommentReference">
    <w:name w:val="annotation reference"/>
    <w:basedOn w:val="DefaultParagraphFont"/>
    <w:uiPriority w:val="99"/>
    <w:semiHidden/>
    <w:unhideWhenUsed/>
    <w:rsid w:val="00D53C1A"/>
    <w:rPr>
      <w:sz w:val="16"/>
      <w:szCs w:val="16"/>
    </w:rPr>
  </w:style>
  <w:style w:type="paragraph" w:styleId="CommentText">
    <w:name w:val="annotation text"/>
    <w:basedOn w:val="Normal"/>
    <w:link w:val="CommentTextChar"/>
    <w:uiPriority w:val="99"/>
    <w:unhideWhenUsed/>
    <w:rsid w:val="00D53C1A"/>
    <w:pPr>
      <w:spacing w:line="240" w:lineRule="auto"/>
    </w:pPr>
    <w:rPr>
      <w:sz w:val="20"/>
      <w:szCs w:val="20"/>
    </w:rPr>
  </w:style>
  <w:style w:type="character" w:customStyle="1" w:styleId="CommentTextChar">
    <w:name w:val="Comment Text Char"/>
    <w:basedOn w:val="DefaultParagraphFont"/>
    <w:link w:val="CommentText"/>
    <w:uiPriority w:val="99"/>
    <w:rsid w:val="00D53C1A"/>
    <w:rPr>
      <w:sz w:val="20"/>
      <w:szCs w:val="20"/>
    </w:rPr>
  </w:style>
  <w:style w:type="paragraph" w:styleId="CommentSubject">
    <w:name w:val="annotation subject"/>
    <w:basedOn w:val="CommentText"/>
    <w:next w:val="CommentText"/>
    <w:link w:val="CommentSubjectChar"/>
    <w:uiPriority w:val="99"/>
    <w:semiHidden/>
    <w:unhideWhenUsed/>
    <w:rsid w:val="00D53C1A"/>
    <w:rPr>
      <w:b/>
      <w:bCs/>
    </w:rPr>
  </w:style>
  <w:style w:type="character" w:customStyle="1" w:styleId="CommentSubjectChar">
    <w:name w:val="Comment Subject Char"/>
    <w:basedOn w:val="CommentTextChar"/>
    <w:link w:val="CommentSubject"/>
    <w:uiPriority w:val="99"/>
    <w:semiHidden/>
    <w:rsid w:val="00D53C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CFF18-613D-4D5A-A1E0-ECE6444F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993</Words>
  <Characters>5663</Characters>
  <Application>Microsoft Office Word</Application>
  <DocSecurity>0</DocSecurity>
  <Lines>47</Lines>
  <Paragraphs>13</Paragraphs>
  <ScaleCrop>false</ScaleCrop>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Covington</dc:creator>
  <cp:keywords/>
  <dc:description/>
  <cp:lastModifiedBy>Darren Covington</cp:lastModifiedBy>
  <cp:revision>3</cp:revision>
  <dcterms:created xsi:type="dcterms:W3CDTF">2025-08-14T13:20:00Z</dcterms:created>
  <dcterms:modified xsi:type="dcterms:W3CDTF">2025-08-14T13:53:00Z</dcterms:modified>
</cp:coreProperties>
</file>